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80" w:before="100" w:line="240" w:lineRule="auto"/>
        <w:rPr>
          <w:rFonts w:ascii="Arial" w:cs="Arial" w:eastAsia="Arial" w:hAnsi="Arial"/>
          <w:b w:val="1"/>
          <w:color w:val="202020"/>
          <w:sz w:val="33"/>
          <w:szCs w:val="33"/>
        </w:rPr>
      </w:pPr>
      <w:r w:rsidDel="00000000" w:rsidR="00000000" w:rsidRPr="00000000">
        <w:rPr>
          <w:rFonts w:ascii="Arial" w:cs="Arial" w:eastAsia="Arial" w:hAnsi="Arial"/>
          <w:b w:val="1"/>
          <w:color w:val="202020"/>
          <w:sz w:val="33"/>
          <w:szCs w:val="33"/>
          <w:rtl w:val="0"/>
        </w:rPr>
        <w:t xml:space="preserve">Статья 59. Итоговая аттестация</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02020"/>
          <w:sz w:val="24"/>
          <w:szCs w:val="24"/>
        </w:rPr>
      </w:pPr>
      <w:r w:rsidDel="00000000" w:rsidR="00000000" w:rsidRPr="00000000">
        <w:rPr>
          <w:rFonts w:ascii="Arial" w:cs="Arial" w:eastAsia="Arial" w:hAnsi="Arial"/>
          <w:color w:val="202020"/>
          <w:sz w:val="24"/>
          <w:szCs w:val="24"/>
          <w:rtl w:val="0"/>
        </w:rPr>
        <w:t xml:space="preserve">1. Итоговая аттестация представляет собой форму оценки степени и уровня освоения обучающимися образовательной программы.</w:t>
        <w:br w:type="textWrapping"/>
        <w:br w:type="textWrapping"/>
        <w:t xml:space="preserve">2. Итоговая аттестация проводится на основе принципов объективности и независимости оценки качества подготовки обучающихся.</w:t>
        <w:br w:type="textWrapping"/>
        <w:br w:type="textWrapping"/>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br w:type="textWrapping"/>
        <w:br w:type="textWrapping"/>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br w:type="textWrapping"/>
        <w:br w:type="textWrapping"/>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br w:type="textWrapping"/>
        <w:br w:type="textWrapping"/>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br w:type="textWrapping"/>
        <w:br w:type="textWrapping"/>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br w:type="textWrapping"/>
        <w:br w:type="textWrapping"/>
        <w:t xml:space="preserve">8. Не допускается взимание платы с обучающихся за прохождение государственной итоговой аттестации.</w:t>
        <w:br w:type="textWrapping"/>
        <w:br w:type="textWrapping"/>
        <w:t xml:space="preserve">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br w:type="textWrapping"/>
        <w:br w:type="textWrapping"/>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br w:type="textWrapping"/>
        <w:br w:type="textWrapping"/>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br w:type="textWrapping"/>
        <w:br w:type="textWrapping"/>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br w:type="textWrapping"/>
        <w:br w:type="textWrapping"/>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br w:type="textWrapping"/>
        <w:br w:type="textWrapping"/>
        <w:t xml:space="preserve">12. Обеспечение проведения государственной итоговой аттестации осуществляется:</w:t>
        <w:br w:type="textWrapping"/>
        <w:br w:type="textWrapping"/>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br w:type="textWrapping"/>
        <w:br w:type="textWrapping"/>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br w:type="textWrapping"/>
        <w:br w:type="textWrapping"/>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br w:type="textWrapping"/>
        <w:br w:type="textWrapping"/>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br w:type="textWrapping"/>
        <w:br w:type="textWrapping"/>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br w:type="textWrapping"/>
        <w:br w:type="textWrapping"/>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br w:type="textWrapping"/>
        <w:br w:type="textWrapping"/>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br w:type="textWrapping"/>
        <w:br w:type="textWrapping"/>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br w:type="textWrapping"/>
        <w:br w:type="textWrapping"/>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br w:type="textWrapping"/>
        <w:br w:type="textWrapping"/>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br w:type="textWrapping"/>
        <w:br w:type="textWrapping"/>
        <w:t xml:space="preserve">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br w:type="textWrapping"/>
        <w:br w:type="textWrapping"/>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r>
    </w:p>
    <w:sectPr>
      <w:pgSz w:h="16838" w:w="11906" w:orient="portrait"/>
      <w:pgMar w:bottom="1134" w:top="1134" w:left="1701"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